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E764E8" w:rsidRDefault="00E764E8" w:rsidP="00E764E8">
      <w:pPr>
        <w:spacing w:after="0" w:line="360" w:lineRule="auto"/>
        <w:rPr>
          <w:rFonts w:ascii="Sylfaen" w:hAnsi="Sylfaen"/>
          <w:b/>
          <w:bCs/>
        </w:rPr>
      </w:pPr>
    </w:p>
    <w:p w:rsidR="009F0B73" w:rsidRPr="009F0B73" w:rsidRDefault="009F0B73" w:rsidP="009F0B73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9F0B73">
        <w:rPr>
          <w:rFonts w:ascii="Sylfaen" w:hAnsi="Sylfaen"/>
          <w:b/>
          <w:bCs/>
          <w:lang w:val="ka-GE"/>
        </w:rPr>
        <w:t>კონკურსი სამშენებლო დეპარტამენტის შენობის სარემონტო</w:t>
      </w:r>
      <w:r w:rsidRPr="009F0B73">
        <w:rPr>
          <w:rFonts w:ascii="Sylfaen" w:hAnsi="Sylfaen"/>
          <w:b/>
          <w:bCs/>
        </w:rPr>
        <w:t xml:space="preserve"> (</w:t>
      </w:r>
      <w:r w:rsidRPr="009F0B73">
        <w:rPr>
          <w:rFonts w:ascii="Sylfaen" w:hAnsi="Sylfaen"/>
          <w:b/>
          <w:bCs/>
          <w:lang w:val="ka-GE"/>
        </w:rPr>
        <w:t>ფეიქრების ქ.) სამუშაოების შესყიდვის თაობაზე</w:t>
      </w:r>
    </w:p>
    <w:p w:rsidR="003116A1" w:rsidRPr="003116A1" w:rsidRDefault="003116A1" w:rsidP="003116A1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</w:p>
    <w:p w:rsidR="00E764E8" w:rsidRPr="009B750B" w:rsidRDefault="00E764E8" w:rsidP="009B750B">
      <w:pPr>
        <w:spacing w:after="0" w:line="360" w:lineRule="auto"/>
        <w:jc w:val="center"/>
        <w:rPr>
          <w:rFonts w:ascii="Sylfaen" w:hAnsi="Sylfaen"/>
          <w:b/>
          <w:bCs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9F0B73">
        <w:rPr>
          <w:rFonts w:ascii="Sylfaen" w:hAnsi="Sylfaen"/>
          <w:b/>
          <w:bCs/>
        </w:rPr>
        <w:t>039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9F0B73" w:rsidRDefault="00B3543E" w:rsidP="009F0B73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  <w:lang w:val="ka-GE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gramStart"/>
      <w:r w:rsidR="00851877">
        <w:rPr>
          <w:rFonts w:ascii="Sylfaen" w:hAnsi="Sylfaen" w:cs="Sylfaen"/>
          <w:b/>
          <w:bCs/>
          <w:lang w:val="ka-GE"/>
        </w:rPr>
        <w:t>კონკურსს</w:t>
      </w:r>
      <w:r w:rsidR="00851877" w:rsidRPr="00851877">
        <w:rPr>
          <w:rFonts w:ascii="Sylfaen" w:hAnsi="Sylfaen" w:cs="Sylfaen"/>
          <w:b/>
          <w:bCs/>
          <w:lang w:val="ka-GE"/>
        </w:rPr>
        <w:t xml:space="preserve"> </w:t>
      </w:r>
      <w:r w:rsidR="009F0B73" w:rsidRPr="009F0B73">
        <w:rPr>
          <w:rFonts w:ascii="Sylfaen" w:hAnsi="Sylfaen" w:cs="Sylfaen"/>
          <w:b/>
          <w:bCs/>
          <w:lang w:val="ka-GE"/>
        </w:rPr>
        <w:t xml:space="preserve"> სამშენებლო</w:t>
      </w:r>
      <w:proofErr w:type="gramEnd"/>
      <w:r w:rsidR="009F0B73" w:rsidRPr="009F0B73">
        <w:rPr>
          <w:rFonts w:ascii="Sylfaen" w:hAnsi="Sylfaen" w:cs="Sylfaen"/>
          <w:b/>
          <w:bCs/>
          <w:lang w:val="ka-GE"/>
        </w:rPr>
        <w:t xml:space="preserve"> დეპარტამენტის შენობის სარემონტო</w:t>
      </w:r>
      <w:r w:rsidR="009F0B73" w:rsidRPr="009F0B73">
        <w:rPr>
          <w:rFonts w:ascii="Sylfaen" w:hAnsi="Sylfaen" w:cs="Sylfaen"/>
          <w:b/>
          <w:bCs/>
        </w:rPr>
        <w:t xml:space="preserve"> (</w:t>
      </w:r>
      <w:r w:rsidR="009F0B73" w:rsidRPr="009F0B73">
        <w:rPr>
          <w:rFonts w:ascii="Sylfaen" w:hAnsi="Sylfaen" w:cs="Sylfaen"/>
          <w:b/>
          <w:bCs/>
          <w:lang w:val="ka-GE"/>
        </w:rPr>
        <w:t>ფეიქრების ქ.) სამუშაოების შესყიდვის თაობაზე</w:t>
      </w:r>
      <w:r w:rsidR="009F0B73">
        <w:rPr>
          <w:rFonts w:ascii="Sylfaen" w:hAnsi="Sylfaen" w:cs="Sylfaen"/>
          <w:b/>
          <w:bCs/>
          <w:lang w:val="ka-GE"/>
        </w:rPr>
        <w:t xml:space="preserve"> </w:t>
      </w:r>
      <w:r w:rsidR="00E764E8" w:rsidRPr="009F0B73">
        <w:rPr>
          <w:rFonts w:ascii="Sylfaen" w:hAnsi="Sylfaen"/>
          <w:b/>
          <w:bCs/>
          <w:lang w:val="ka-GE"/>
        </w:rPr>
        <w:t xml:space="preserve">№ </w:t>
      </w:r>
      <w:r w:rsidR="009F0B73" w:rsidRPr="009F0B73">
        <w:rPr>
          <w:rFonts w:ascii="Sylfaen" w:hAnsi="Sylfaen"/>
          <w:b/>
          <w:bCs/>
        </w:rPr>
        <w:t>039</w:t>
      </w:r>
      <w:r w:rsidR="009B750B" w:rsidRPr="009F0B73">
        <w:rPr>
          <w:rFonts w:ascii="Sylfaen" w:hAnsi="Sylfaen"/>
          <w:b/>
          <w:bCs/>
        </w:rPr>
        <w:t xml:space="preserve">-BID-17 </w:t>
      </w:r>
      <w:proofErr w:type="spellStart"/>
      <w:r w:rsidRPr="009F0B73">
        <w:rPr>
          <w:rFonts w:ascii="Sylfaen" w:hAnsi="Sylfaen" w:cs="Sylfaen"/>
        </w:rPr>
        <w:t>და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იწვევს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კვალიფიციურ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კომპანიებს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მონაწილეობის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მისაღებად</w:t>
      </w:r>
      <w:proofErr w:type="spellEnd"/>
      <w:r w:rsidRPr="009F0B73">
        <w:rPr>
          <w:rFonts w:ascii="AcadNusx" w:hAnsi="AcadNusx"/>
        </w:rPr>
        <w:t xml:space="preserve"> (</w:t>
      </w:r>
      <w:proofErr w:type="spellStart"/>
      <w:r w:rsidRPr="009F0B73">
        <w:rPr>
          <w:rFonts w:ascii="Sylfaen" w:hAnsi="Sylfaen" w:cs="Sylfaen"/>
        </w:rPr>
        <w:t>სავარაუდო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მოცულობა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მოცემულია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="004141A7" w:rsidRPr="009F0B73">
        <w:rPr>
          <w:rFonts w:ascii="Sylfaen" w:hAnsi="Sylfaen" w:cs="Sylfaen"/>
        </w:rPr>
        <w:t>ხერჯთ</w:t>
      </w:r>
      <w:r w:rsidRPr="009F0B73">
        <w:rPr>
          <w:rFonts w:ascii="Sylfaen" w:hAnsi="Sylfaen" w:cs="Sylfaen"/>
        </w:rPr>
        <w:t>აღრიცხვის</w:t>
      </w:r>
      <w:proofErr w:type="spellEnd"/>
      <w:r w:rsidRPr="009F0B73">
        <w:rPr>
          <w:rFonts w:ascii="AcadNusx" w:hAnsi="AcadNusx"/>
        </w:rPr>
        <w:t xml:space="preserve"> </w:t>
      </w:r>
      <w:proofErr w:type="spellStart"/>
      <w:r w:rsidRPr="009F0B73">
        <w:rPr>
          <w:rFonts w:ascii="Sylfaen" w:hAnsi="Sylfaen" w:cs="Sylfaen"/>
        </w:rPr>
        <w:t>ფორმაში</w:t>
      </w:r>
      <w:proofErr w:type="spellEnd"/>
      <w:r w:rsidRPr="009F0B73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9F0B73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51877">
        <w:rPr>
          <w:rFonts w:ascii="Sylfaen" w:hAnsi="Sylfaen"/>
          <w:lang w:val="ka-GE"/>
        </w:rPr>
        <w:t>ერთ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9F0B73" w:rsidRPr="009F0B73" w:rsidRDefault="00E764E8" w:rsidP="009F0B73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E764E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="009F0B73" w:rsidRPr="009F0B7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სამშენებლო დეპარტამენტის შენობის სარემონტო</w:t>
      </w:r>
      <w:r w:rsidR="009F0B73" w:rsidRPr="009F0B73">
        <w:rPr>
          <w:rFonts w:ascii="Sylfaen" w:hAnsi="Sylfaen" w:cs="Sylfaen"/>
          <w:b/>
          <w:bCs/>
          <w:sz w:val="20"/>
          <w:szCs w:val="20"/>
          <w:u w:val="single"/>
        </w:rPr>
        <w:t xml:space="preserve"> (</w:t>
      </w:r>
      <w:r w:rsidR="009F0B73" w:rsidRPr="009F0B7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ფეიქრების ქ.) სამუშაოები</w:t>
      </w:r>
    </w:p>
    <w:p w:rsidR="00851877" w:rsidRPr="00851877" w:rsidRDefault="00851877" w:rsidP="00851877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</w:p>
    <w:p w:rsidR="003116A1" w:rsidRPr="003116A1" w:rsidRDefault="003116A1" w:rsidP="003116A1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</w:p>
    <w:p w:rsidR="00E764E8" w:rsidRPr="00E764E8" w:rsidRDefault="00E764E8" w:rsidP="00E764E8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DC4BD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14</w:t>
      </w:r>
      <w:bookmarkStart w:id="0" w:name="_GoBack"/>
      <w:bookmarkEnd w:id="0"/>
      <w:r w:rsidR="003116A1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სექტემბერი</w:t>
      </w:r>
      <w:r w:rsidR="00A948F9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9F0B73">
        <w:rPr>
          <w:rFonts w:ascii="Sylfaen" w:hAnsi="Sylfaen"/>
          <w:b/>
          <w:sz w:val="20"/>
          <w:szCs w:val="20"/>
          <w:lang w:val="ka-GE"/>
        </w:rPr>
        <w:t>ბონდო ღავთაძე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9F0B73">
        <w:rPr>
          <w:rFonts w:ascii="Sylfaen" w:hAnsi="Sylfaen"/>
          <w:sz w:val="20"/>
          <w:szCs w:val="20"/>
          <w:lang w:val="ka-GE"/>
        </w:rPr>
        <w:t>591 128 821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271CF1" w:rsidRPr="00271CF1" w:rsidRDefault="00271CF1" w:rsidP="003116A1">
      <w:pPr>
        <w:pStyle w:val="Heading1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lastRenderedPageBreak/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B3543E" w:rsidRPr="003C3EAF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B3543E" w:rsidRPr="008D2BFD" w:rsidRDefault="00B3543E" w:rsidP="008D2BFD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განსახორციელებელი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="000E2456">
        <w:rPr>
          <w:rFonts w:ascii="Sylfaen" w:hAnsi="Sylfaen" w:cs="Sylfaen"/>
          <w:b/>
          <w:color w:val="auto"/>
          <w:sz w:val="24"/>
          <w:szCs w:val="24"/>
        </w:rPr>
        <w:t>სამუშ</w:t>
      </w:r>
      <w:r w:rsidRPr="008D2BFD">
        <w:rPr>
          <w:rFonts w:ascii="Sylfaen" w:hAnsi="Sylfaen" w:cs="Sylfaen"/>
          <w:b/>
          <w:color w:val="auto"/>
          <w:sz w:val="24"/>
          <w:szCs w:val="24"/>
        </w:rPr>
        <w:t>აოების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მოცულობა</w:t>
      </w:r>
      <w:proofErr w:type="spellEnd"/>
    </w:p>
    <w:p w:rsidR="007C261E" w:rsidRPr="003C3EAF" w:rsidRDefault="00B3543E" w:rsidP="00FE6DAE">
      <w:pPr>
        <w:spacing w:after="0"/>
        <w:rPr>
          <w:rFonts w:ascii="AcadMtavr" w:hAnsi="AcadMtavr"/>
          <w:lang w:val="ka-GE"/>
        </w:rPr>
      </w:pPr>
      <w:r w:rsidRPr="00B3543E">
        <w:rPr>
          <w:rFonts w:ascii="AcadMtavr" w:hAnsi="AcadMtavr"/>
        </w:rPr>
        <w:t xml:space="preserve">6.1     </w:t>
      </w:r>
      <w:proofErr w:type="spellStart"/>
      <w:r w:rsidRPr="00B3543E">
        <w:rPr>
          <w:rFonts w:ascii="Sylfaen" w:hAnsi="Sylfaen" w:cs="Sylfaen"/>
        </w:rPr>
        <w:t>განსახორციელებელი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სამუსაოების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სავარაუდო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მოცულობა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r w:rsidR="003C3EAF">
        <w:rPr>
          <w:rFonts w:ascii="Sylfaen" w:hAnsi="Sylfaen" w:cs="Sylfaen"/>
          <w:lang w:val="ka-GE"/>
        </w:rPr>
        <w:t>თავფურცელში.</w:t>
      </w: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Default="00B70A33" w:rsidP="008D2BFD">
      <w:pPr>
        <w:rPr>
          <w:rFonts w:ascii="AcadMtavr" w:hAnsi="AcadMtavr"/>
        </w:rPr>
      </w:pPr>
    </w:p>
    <w:p w:rsidR="003C3EAF" w:rsidRDefault="003C3EAF" w:rsidP="008D2BFD">
      <w:pPr>
        <w:rPr>
          <w:rFonts w:ascii="AcadMtavr" w:hAnsi="AcadMtavr"/>
        </w:rPr>
      </w:pPr>
    </w:p>
    <w:p w:rsidR="003C3EAF" w:rsidRPr="00B3543E" w:rsidRDefault="003C3EAF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lastRenderedPageBreak/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6A" w:rsidRDefault="00D0776A" w:rsidP="007902EA">
      <w:pPr>
        <w:spacing w:after="0" w:line="240" w:lineRule="auto"/>
      </w:pPr>
      <w:r>
        <w:separator/>
      </w:r>
    </w:p>
  </w:endnote>
  <w:endnote w:type="continuationSeparator" w:id="0">
    <w:p w:rsidR="00D0776A" w:rsidRDefault="00D0776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6A" w:rsidRDefault="00D0776A" w:rsidP="007902EA">
      <w:pPr>
        <w:spacing w:after="0" w:line="240" w:lineRule="auto"/>
      </w:pPr>
      <w:r>
        <w:separator/>
      </w:r>
    </w:p>
  </w:footnote>
  <w:footnote w:type="continuationSeparator" w:id="0">
    <w:p w:rsidR="00D0776A" w:rsidRDefault="00D0776A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16A1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3EAF"/>
    <w:rsid w:val="003C6F22"/>
    <w:rsid w:val="003D6473"/>
    <w:rsid w:val="003E15FA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1877"/>
    <w:rsid w:val="00867825"/>
    <w:rsid w:val="00870473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73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0776A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71552"/>
    <w:rsid w:val="00D80CDB"/>
    <w:rsid w:val="00D80CFC"/>
    <w:rsid w:val="00D95228"/>
    <w:rsid w:val="00D95A0F"/>
    <w:rsid w:val="00D96566"/>
    <w:rsid w:val="00DA4009"/>
    <w:rsid w:val="00DB77E8"/>
    <w:rsid w:val="00DC422B"/>
    <w:rsid w:val="00DC43D7"/>
    <w:rsid w:val="00DC4BD0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660A3"/>
    <w:rsid w:val="00E764E8"/>
    <w:rsid w:val="00E85A5D"/>
    <w:rsid w:val="00E94223"/>
    <w:rsid w:val="00E95292"/>
    <w:rsid w:val="00EA2F30"/>
    <w:rsid w:val="00EA3570"/>
    <w:rsid w:val="00EF1DDF"/>
    <w:rsid w:val="00EF2603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25EEB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BDBF-D00C-4D78-AFEE-F54E4F8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67</cp:revision>
  <cp:lastPrinted>2016-06-17T13:25:00Z</cp:lastPrinted>
  <dcterms:created xsi:type="dcterms:W3CDTF">2016-07-21T15:20:00Z</dcterms:created>
  <dcterms:modified xsi:type="dcterms:W3CDTF">2017-08-30T05:48:00Z</dcterms:modified>
</cp:coreProperties>
</file>